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5" w:rsidRPr="007A46F4" w:rsidRDefault="00E27115" w:rsidP="00F42CE4">
      <w:pPr>
        <w:jc w:val="center"/>
        <w:rPr>
          <w:rFonts w:ascii="文星简小标宋" w:eastAsia="文星简小标宋" w:hAnsi="华文中宋" w:cs="Times New Roman"/>
          <w:spacing w:val="-20"/>
          <w:sz w:val="44"/>
          <w:szCs w:val="44"/>
        </w:rPr>
      </w:pPr>
      <w:r w:rsidRPr="007A46F4">
        <w:rPr>
          <w:rFonts w:ascii="文星简小标宋" w:eastAsia="文星简小标宋" w:hAnsi="华文中宋" w:cs="Times New Roman" w:hint="eastAsia"/>
          <w:spacing w:val="-20"/>
          <w:sz w:val="44"/>
          <w:szCs w:val="44"/>
        </w:rPr>
        <w:t>唐山开滦炭素化工有限公司</w:t>
      </w:r>
      <w:r w:rsidR="007604CF">
        <w:rPr>
          <w:rFonts w:ascii="文星简小标宋" w:eastAsia="文星简小标宋" w:hAnsi="华文中宋" w:cs="Times New Roman" w:hint="eastAsia"/>
          <w:spacing w:val="-20"/>
          <w:sz w:val="44"/>
          <w:szCs w:val="44"/>
        </w:rPr>
        <w:t>环保</w:t>
      </w:r>
      <w:r w:rsidRPr="007A46F4">
        <w:rPr>
          <w:rFonts w:ascii="文星简小标宋" w:eastAsia="文星简小标宋" w:hAnsi="华文中宋" w:cs="Times New Roman" w:hint="eastAsia"/>
          <w:spacing w:val="-20"/>
          <w:sz w:val="44"/>
          <w:szCs w:val="44"/>
        </w:rPr>
        <w:t>信息公开</w:t>
      </w:r>
    </w:p>
    <w:p w:rsidR="00EF1326" w:rsidRPr="007A46F4" w:rsidRDefault="00E27115"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sz w:val="32"/>
          <w:szCs w:val="32"/>
        </w:rPr>
        <w:t>唐山开滦</w:t>
      </w:r>
      <w:proofErr w:type="gramStart"/>
      <w:r w:rsidRPr="007A46F4">
        <w:rPr>
          <w:rFonts w:ascii="仿宋_GB2312" w:eastAsia="仿宋_GB2312" w:hAnsi="Times New Roman" w:cs="Times New Roman"/>
          <w:sz w:val="32"/>
          <w:szCs w:val="32"/>
        </w:rPr>
        <w:t>炭素</w:t>
      </w:r>
      <w:proofErr w:type="gramEnd"/>
      <w:r w:rsidRPr="007A46F4">
        <w:rPr>
          <w:rFonts w:ascii="仿宋_GB2312" w:eastAsia="仿宋_GB2312" w:hAnsi="Times New Roman" w:cs="Times New Roman"/>
          <w:sz w:val="32"/>
          <w:szCs w:val="32"/>
        </w:rPr>
        <w:t>化工有限公司是开滦能源化工股份有限公司的控股子公司，原名为</w:t>
      </w:r>
      <w:proofErr w:type="gramStart"/>
      <w:r w:rsidRPr="007A46F4">
        <w:rPr>
          <w:rFonts w:ascii="仿宋_GB2312" w:eastAsia="仿宋_GB2312" w:hAnsi="Times New Roman" w:cs="Times New Roman"/>
          <w:sz w:val="32"/>
          <w:szCs w:val="32"/>
        </w:rPr>
        <w:t>唐山考伯斯</w:t>
      </w:r>
      <w:proofErr w:type="gramEnd"/>
      <w:r w:rsidRPr="007A46F4">
        <w:rPr>
          <w:rFonts w:ascii="仿宋_GB2312" w:eastAsia="仿宋_GB2312" w:hAnsi="Times New Roman" w:cs="Times New Roman"/>
          <w:sz w:val="32"/>
          <w:szCs w:val="32"/>
        </w:rPr>
        <w:t>开滦</w:t>
      </w:r>
      <w:proofErr w:type="gramStart"/>
      <w:r w:rsidRPr="007A46F4">
        <w:rPr>
          <w:rFonts w:ascii="仿宋_GB2312" w:eastAsia="仿宋_GB2312" w:hAnsi="Times New Roman" w:cs="Times New Roman"/>
          <w:sz w:val="32"/>
          <w:szCs w:val="32"/>
        </w:rPr>
        <w:t>炭素</w:t>
      </w:r>
      <w:proofErr w:type="gramEnd"/>
      <w:r w:rsidRPr="007A46F4">
        <w:rPr>
          <w:rFonts w:ascii="仿宋_GB2312" w:eastAsia="仿宋_GB2312" w:hAnsi="Times New Roman" w:cs="Times New Roman"/>
          <w:sz w:val="32"/>
          <w:szCs w:val="32"/>
        </w:rPr>
        <w:t>化工有限公司，因股权变更，于2017年1月16日更名为唐山开滦</w:t>
      </w:r>
      <w:proofErr w:type="gramStart"/>
      <w:r w:rsidRPr="007A46F4">
        <w:rPr>
          <w:rFonts w:ascii="仿宋_GB2312" w:eastAsia="仿宋_GB2312" w:hAnsi="Times New Roman" w:cs="Times New Roman"/>
          <w:sz w:val="32"/>
          <w:szCs w:val="32"/>
        </w:rPr>
        <w:t>炭素</w:t>
      </w:r>
      <w:proofErr w:type="gramEnd"/>
      <w:r w:rsidRPr="007A46F4">
        <w:rPr>
          <w:rFonts w:ascii="仿宋_GB2312" w:eastAsia="仿宋_GB2312" w:hAnsi="Times New Roman" w:cs="Times New Roman"/>
          <w:sz w:val="32"/>
          <w:szCs w:val="32"/>
        </w:rPr>
        <w:t>化工有限公司。公司地址为河北省唐山海港经济开发区５号路北，注册资本12904.47万元，法定代表人：李顺常，组织机构代码为911302006677220603，公司类型：有限责任公司。经营范围：生产、加工和销售煤焦油衍生产品（包括轻油、溶剂油【酚油】、工业</w:t>
      </w:r>
      <w:proofErr w:type="gramStart"/>
      <w:r w:rsidRPr="007A46F4">
        <w:rPr>
          <w:rFonts w:ascii="仿宋_GB2312" w:eastAsia="仿宋_GB2312" w:hAnsi="Times New Roman" w:cs="Times New Roman"/>
          <w:sz w:val="32"/>
          <w:szCs w:val="32"/>
        </w:rPr>
        <w:t>萘</w:t>
      </w:r>
      <w:proofErr w:type="gramEnd"/>
      <w:r w:rsidRPr="007A46F4">
        <w:rPr>
          <w:rFonts w:ascii="仿宋_GB2312" w:eastAsia="仿宋_GB2312" w:hAnsi="Times New Roman" w:cs="Times New Roman"/>
          <w:sz w:val="32"/>
          <w:szCs w:val="32"/>
        </w:rPr>
        <w:t>、洗油、</w:t>
      </w:r>
      <w:proofErr w:type="gramStart"/>
      <w:r w:rsidRPr="007A46F4">
        <w:rPr>
          <w:rFonts w:ascii="仿宋_GB2312" w:eastAsia="仿宋_GB2312" w:hAnsi="Times New Roman" w:cs="Times New Roman"/>
          <w:sz w:val="32"/>
          <w:szCs w:val="32"/>
        </w:rPr>
        <w:t>蒽</w:t>
      </w:r>
      <w:proofErr w:type="gramEnd"/>
      <w:r w:rsidRPr="007A46F4">
        <w:rPr>
          <w:rFonts w:ascii="仿宋_GB2312" w:eastAsia="仿宋_GB2312" w:hAnsi="Times New Roman" w:cs="Times New Roman"/>
          <w:sz w:val="32"/>
          <w:szCs w:val="32"/>
        </w:rPr>
        <w:t>油、炭黑油、煤沥青、重油、中性</w:t>
      </w:r>
      <w:proofErr w:type="gramStart"/>
      <w:r w:rsidRPr="007A46F4">
        <w:rPr>
          <w:rFonts w:ascii="仿宋_GB2312" w:eastAsia="仿宋_GB2312" w:hAnsi="Times New Roman" w:cs="Times New Roman"/>
          <w:sz w:val="32"/>
          <w:szCs w:val="32"/>
        </w:rPr>
        <w:t>酚</w:t>
      </w:r>
      <w:proofErr w:type="gramEnd"/>
      <w:r w:rsidRPr="007A46F4">
        <w:rPr>
          <w:rFonts w:ascii="仿宋_GB2312" w:eastAsia="仿宋_GB2312" w:hAnsi="Times New Roman" w:cs="Times New Roman"/>
          <w:sz w:val="32"/>
          <w:szCs w:val="32"/>
        </w:rPr>
        <w:t>钠）；货物进出口业务。</w:t>
      </w:r>
      <w:r w:rsidRPr="007A46F4">
        <w:rPr>
          <w:rFonts w:ascii="仿宋_GB2312" w:eastAsia="仿宋_GB2312" w:hAnsi="Times New Roman" w:cs="Times New Roman" w:hint="eastAsia"/>
          <w:sz w:val="32"/>
          <w:szCs w:val="32"/>
        </w:rPr>
        <w:t>企业联系人：王战科，联系方式：0315-2917742。公司</w:t>
      </w:r>
      <w:r w:rsidRPr="007A46F4">
        <w:rPr>
          <w:rFonts w:ascii="仿宋_GB2312" w:eastAsia="仿宋_GB2312" w:hAnsi="Times New Roman" w:cs="Times New Roman"/>
          <w:sz w:val="32"/>
          <w:szCs w:val="32"/>
        </w:rPr>
        <w:t>设有一套30万吨/年</w:t>
      </w:r>
      <w:r w:rsidRPr="007A46F4">
        <w:rPr>
          <w:rFonts w:ascii="仿宋_GB2312" w:eastAsia="仿宋_GB2312" w:hAnsi="Times New Roman" w:cs="Times New Roman" w:hint="eastAsia"/>
          <w:sz w:val="32"/>
          <w:szCs w:val="32"/>
        </w:rPr>
        <w:t>无水煤</w:t>
      </w:r>
      <w:r w:rsidRPr="007A46F4">
        <w:rPr>
          <w:rFonts w:ascii="仿宋_GB2312" w:eastAsia="仿宋_GB2312" w:hAnsi="Times New Roman" w:cs="Times New Roman"/>
          <w:sz w:val="32"/>
          <w:szCs w:val="32"/>
        </w:rPr>
        <w:t>焦油加工装置，公司主要生产</w:t>
      </w:r>
      <w:r w:rsidR="00E80966" w:rsidRPr="007A46F4">
        <w:rPr>
          <w:rFonts w:ascii="仿宋_GB2312" w:eastAsia="仿宋_GB2312" w:hAnsi="Times New Roman" w:cs="Times New Roman" w:hint="eastAsia"/>
          <w:sz w:val="32"/>
          <w:szCs w:val="32"/>
        </w:rPr>
        <w:t>煤</w:t>
      </w:r>
      <w:r w:rsidRPr="007A46F4">
        <w:rPr>
          <w:rFonts w:ascii="仿宋_GB2312" w:eastAsia="仿宋_GB2312" w:hAnsi="Times New Roman" w:cs="Times New Roman"/>
          <w:sz w:val="32"/>
          <w:szCs w:val="32"/>
        </w:rPr>
        <w:t>沥青、</w:t>
      </w:r>
      <w:proofErr w:type="gramStart"/>
      <w:r w:rsidRPr="007A46F4">
        <w:rPr>
          <w:rFonts w:ascii="仿宋_GB2312" w:eastAsia="仿宋_GB2312" w:hAnsi="Times New Roman" w:cs="Times New Roman"/>
          <w:sz w:val="32"/>
          <w:szCs w:val="32"/>
        </w:rPr>
        <w:t>蒽</w:t>
      </w:r>
      <w:proofErr w:type="gramEnd"/>
      <w:r w:rsidRPr="007A46F4">
        <w:rPr>
          <w:rFonts w:ascii="仿宋_GB2312" w:eastAsia="仿宋_GB2312" w:hAnsi="Times New Roman" w:cs="Times New Roman"/>
          <w:sz w:val="32"/>
          <w:szCs w:val="32"/>
        </w:rPr>
        <w:t>油、炭黑油等。</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（1）排污信息</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唐山开滦</w:t>
      </w:r>
      <w:proofErr w:type="gramStart"/>
      <w:r w:rsidRPr="007A46F4">
        <w:rPr>
          <w:rFonts w:ascii="仿宋_GB2312" w:eastAsia="仿宋_GB2312" w:hAnsi="Times New Roman" w:cs="Times New Roman" w:hint="eastAsia"/>
          <w:sz w:val="32"/>
          <w:szCs w:val="32"/>
        </w:rPr>
        <w:t>炭素</w:t>
      </w:r>
      <w:proofErr w:type="gramEnd"/>
      <w:r w:rsidRPr="007A46F4">
        <w:rPr>
          <w:rFonts w:ascii="仿宋_GB2312" w:eastAsia="仿宋_GB2312" w:hAnsi="Times New Roman" w:cs="Times New Roman" w:hint="eastAsia"/>
          <w:sz w:val="32"/>
          <w:szCs w:val="32"/>
        </w:rPr>
        <w:t>公司主要污染物：废气、废水、危险废物。废气中主要污染物和特征污染物为：颗粒物、二氧化硫、氮氧化物；设有5个废气排放口，主要分布在工业</w:t>
      </w:r>
      <w:proofErr w:type="gramStart"/>
      <w:r w:rsidRPr="007A46F4">
        <w:rPr>
          <w:rFonts w:ascii="仿宋_GB2312" w:eastAsia="仿宋_GB2312" w:hAnsi="Times New Roman" w:cs="Times New Roman" w:hint="eastAsia"/>
          <w:sz w:val="32"/>
          <w:szCs w:val="32"/>
        </w:rPr>
        <w:t>萘</w:t>
      </w:r>
      <w:proofErr w:type="gramEnd"/>
      <w:r w:rsidRPr="007A46F4">
        <w:rPr>
          <w:rFonts w:ascii="仿宋_GB2312" w:eastAsia="仿宋_GB2312" w:hAnsi="Times New Roman" w:cs="Times New Roman" w:hint="eastAsia"/>
          <w:sz w:val="32"/>
          <w:szCs w:val="32"/>
        </w:rPr>
        <w:t>管式炉、二段管式炉、馏分塔管式炉、导热油炉、VOCs焚烧炉处；排放方式：有组织排放。废水中主要污染物为：</w:t>
      </w:r>
      <w:r w:rsidRPr="007A46F4">
        <w:rPr>
          <w:rFonts w:ascii="仿宋_GB2312" w:eastAsia="仿宋_GB2312" w:hAnsi="Times New Roman" w:cs="Times New Roman"/>
          <w:sz w:val="32"/>
          <w:szCs w:val="32"/>
        </w:rPr>
        <w:t>COD、</w:t>
      </w:r>
      <w:r w:rsidRPr="007A46F4">
        <w:rPr>
          <w:rFonts w:ascii="仿宋_GB2312" w:eastAsia="仿宋_GB2312" w:hAnsi="Times New Roman" w:cs="Times New Roman" w:hint="eastAsia"/>
          <w:sz w:val="32"/>
          <w:szCs w:val="32"/>
        </w:rPr>
        <w:t>BOD5、</w:t>
      </w:r>
      <w:r w:rsidRPr="007A46F4">
        <w:rPr>
          <w:rFonts w:ascii="仿宋_GB2312" w:eastAsia="仿宋_GB2312" w:hAnsi="Times New Roman" w:cs="Times New Roman"/>
          <w:sz w:val="32"/>
          <w:szCs w:val="32"/>
        </w:rPr>
        <w:t>SS</w:t>
      </w:r>
      <w:r w:rsidRPr="007A46F4">
        <w:rPr>
          <w:rFonts w:ascii="仿宋_GB2312" w:eastAsia="仿宋_GB2312" w:hAnsi="Times New Roman" w:cs="Times New Roman" w:hint="eastAsia"/>
          <w:sz w:val="32"/>
          <w:szCs w:val="32"/>
        </w:rPr>
        <w:t>、氨氮，特征污染物为：石油类、氰化物、挥发</w:t>
      </w:r>
      <w:proofErr w:type="gramStart"/>
      <w:r w:rsidRPr="007A46F4">
        <w:rPr>
          <w:rFonts w:ascii="仿宋_GB2312" w:eastAsia="仿宋_GB2312" w:hAnsi="Times New Roman" w:cs="Times New Roman" w:hint="eastAsia"/>
          <w:sz w:val="32"/>
          <w:szCs w:val="32"/>
        </w:rPr>
        <w:t>酚</w:t>
      </w:r>
      <w:proofErr w:type="gramEnd"/>
      <w:r w:rsidRPr="007A46F4">
        <w:rPr>
          <w:rFonts w:ascii="仿宋_GB2312" w:eastAsia="仿宋_GB2312" w:hAnsi="Times New Roman" w:cs="Times New Roman" w:hint="eastAsia"/>
          <w:sz w:val="32"/>
          <w:szCs w:val="32"/>
        </w:rPr>
        <w:t>、苯；产生的废水先收集至废水储罐中，定期</w:t>
      </w:r>
      <w:proofErr w:type="gramStart"/>
      <w:r w:rsidRPr="007A46F4">
        <w:rPr>
          <w:rFonts w:ascii="仿宋_GB2312" w:eastAsia="仿宋_GB2312" w:hAnsi="Times New Roman" w:cs="Times New Roman" w:hint="eastAsia"/>
          <w:sz w:val="32"/>
          <w:szCs w:val="32"/>
        </w:rPr>
        <w:t>送至中润公司</w:t>
      </w:r>
      <w:proofErr w:type="gramEnd"/>
      <w:r w:rsidRPr="007A46F4">
        <w:rPr>
          <w:rFonts w:ascii="仿宋_GB2312" w:eastAsia="仿宋_GB2312" w:hAnsi="Times New Roman" w:cs="Times New Roman" w:hint="eastAsia"/>
          <w:sz w:val="32"/>
          <w:szCs w:val="32"/>
        </w:rPr>
        <w:t>，</w:t>
      </w:r>
      <w:proofErr w:type="gramStart"/>
      <w:r w:rsidRPr="007A46F4">
        <w:rPr>
          <w:rFonts w:ascii="仿宋_GB2312" w:eastAsia="仿宋_GB2312" w:hAnsi="Times New Roman" w:cs="Times New Roman" w:hint="eastAsia"/>
          <w:sz w:val="32"/>
          <w:szCs w:val="32"/>
        </w:rPr>
        <w:t>由中润公司</w:t>
      </w:r>
      <w:proofErr w:type="gramEnd"/>
      <w:r w:rsidRPr="007A46F4">
        <w:rPr>
          <w:rFonts w:ascii="仿宋_GB2312" w:eastAsia="仿宋_GB2312" w:hAnsi="Times New Roman" w:cs="Times New Roman" w:hint="eastAsia"/>
          <w:sz w:val="32"/>
          <w:szCs w:val="32"/>
        </w:rPr>
        <w:t>污水处理系统统一处理后外排至开发区污水处理厂。危险</w:t>
      </w:r>
      <w:proofErr w:type="gramStart"/>
      <w:r w:rsidRPr="007A46F4">
        <w:rPr>
          <w:rFonts w:ascii="仿宋_GB2312" w:eastAsia="仿宋_GB2312" w:hAnsi="Times New Roman" w:cs="Times New Roman" w:hint="eastAsia"/>
          <w:sz w:val="32"/>
          <w:szCs w:val="32"/>
        </w:rPr>
        <w:t>废物为沾有</w:t>
      </w:r>
      <w:proofErr w:type="gramEnd"/>
      <w:r w:rsidRPr="007A46F4">
        <w:rPr>
          <w:rFonts w:ascii="仿宋_GB2312" w:eastAsia="仿宋_GB2312" w:hAnsi="Times New Roman" w:cs="Times New Roman" w:hint="eastAsia"/>
          <w:sz w:val="32"/>
          <w:szCs w:val="32"/>
        </w:rPr>
        <w:t>煤焦油的岩棉和取样桶（HW49）、废矿物油</w:t>
      </w:r>
      <w:r w:rsidRPr="007A46F4">
        <w:rPr>
          <w:rFonts w:ascii="仿宋_GB2312" w:eastAsia="仿宋_GB2312" w:hAnsi="Times New Roman" w:cs="Times New Roman" w:hint="eastAsia"/>
          <w:sz w:val="32"/>
          <w:szCs w:val="32"/>
        </w:rPr>
        <w:lastRenderedPageBreak/>
        <w:t>（HW08）、沾有矿物油和油漆的桶（HW49）、废导热油（HW08）。</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（2）污染物排放执行标准</w:t>
      </w:r>
    </w:p>
    <w:p w:rsidR="002B1871"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管式炉、焚烧炉、导热油炉烟气中的颗粒物、二氧化硫、氮氧化物执行唐山市《2019年“十项重点工作”工作方案》中标准限值要求，非甲烷总烃执行《工业企业挥发性有机物排放控制标准》（DB13/2322-2016）中标准限值要求；废水排放执行《炼焦化学工业污染物排放标准》（GB16171-2012）表2标准限值要求</w:t>
      </w:r>
      <w:r w:rsidRPr="007A46F4">
        <w:rPr>
          <w:rFonts w:ascii="仿宋_GB2312" w:eastAsia="仿宋_GB2312" w:hAnsi="Times New Roman" w:cs="Times New Roman"/>
          <w:sz w:val="32"/>
          <w:szCs w:val="32"/>
        </w:rPr>
        <w:t>。</w:t>
      </w:r>
      <w:r w:rsidRPr="007A46F4">
        <w:rPr>
          <w:rFonts w:ascii="仿宋_GB2312" w:eastAsia="仿宋_GB2312" w:hAnsi="Times New Roman" w:cs="Times New Roman" w:hint="eastAsia"/>
          <w:sz w:val="32"/>
          <w:szCs w:val="32"/>
        </w:rPr>
        <w:t>各项污染物排放情况见下表。</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992"/>
        <w:gridCol w:w="1701"/>
        <w:gridCol w:w="1843"/>
        <w:gridCol w:w="2126"/>
        <w:gridCol w:w="1253"/>
      </w:tblGrid>
      <w:tr w:rsidR="006D2B67" w:rsidTr="00886C7F">
        <w:trPr>
          <w:jc w:val="center"/>
        </w:trPr>
        <w:tc>
          <w:tcPr>
            <w:tcW w:w="1945" w:type="dxa"/>
            <w:gridSpan w:val="2"/>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r>
              <w:rPr>
                <w:rFonts w:ascii="Times New Roman" w:cs="Times New Roman"/>
                <w:color w:val="000000"/>
                <w:sz w:val="21"/>
                <w:szCs w:val="21"/>
              </w:rPr>
              <w:t>污染源</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名称</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标准（</w:t>
            </w:r>
            <w:r>
              <w:rPr>
                <w:rFonts w:ascii="Times New Roman" w:hAnsi="Times New Roman" w:cs="Times New Roman"/>
                <w:color w:val="000000"/>
                <w:sz w:val="21"/>
                <w:szCs w:val="21"/>
              </w:rPr>
              <w:t>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r>
              <w:rPr>
                <w:rFonts w:ascii="Times New Roman" w:cs="Times New Roman"/>
                <w:color w:val="000000"/>
                <w:sz w:val="21"/>
                <w:szCs w:val="21"/>
              </w:rPr>
              <w:t>）</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排放浓度（</w:t>
            </w:r>
            <w:r>
              <w:rPr>
                <w:rFonts w:ascii="Times New Roman" w:hAnsi="Times New Roman" w:cs="Times New Roman"/>
                <w:color w:val="000000"/>
                <w:sz w:val="21"/>
                <w:szCs w:val="21"/>
              </w:rPr>
              <w:t>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r>
              <w:rPr>
                <w:rFonts w:ascii="Times New Roman" w:cs="Times New Roman"/>
                <w:color w:val="000000"/>
                <w:sz w:val="21"/>
                <w:szCs w:val="21"/>
              </w:rPr>
              <w:t>）</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是否超标</w:t>
            </w:r>
          </w:p>
        </w:tc>
      </w:tr>
      <w:tr w:rsidR="006D2B67" w:rsidTr="00886C7F">
        <w:trPr>
          <w:jc w:val="center"/>
        </w:trPr>
        <w:tc>
          <w:tcPr>
            <w:tcW w:w="953" w:type="dxa"/>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废气</w:t>
            </w:r>
          </w:p>
        </w:tc>
        <w:tc>
          <w:tcPr>
            <w:tcW w:w="992" w:type="dxa"/>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工业</w:t>
            </w:r>
            <w:proofErr w:type="gramStart"/>
            <w:r>
              <w:rPr>
                <w:rFonts w:ascii="Times New Roman" w:cs="Times New Roman"/>
                <w:color w:val="000000"/>
                <w:sz w:val="21"/>
                <w:szCs w:val="21"/>
              </w:rPr>
              <w:t>萘</w:t>
            </w:r>
            <w:proofErr w:type="gramEnd"/>
            <w:r>
              <w:rPr>
                <w:rFonts w:ascii="Times New Roman" w:cs="Times New Roman"/>
                <w:color w:val="000000"/>
                <w:sz w:val="21"/>
                <w:szCs w:val="21"/>
              </w:rPr>
              <w:t>管式炉</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二氧化硫</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10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氮氧化物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48</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颗粒物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5.4</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二段管式炉</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二氧化硫</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13</w:t>
            </w:r>
            <w:r>
              <w:rPr>
                <w:rFonts w:ascii="Times New Roman" w:hAnsi="Times New Roman" w:cs="Times New Roman"/>
                <w:color w:val="000000"/>
                <w:sz w:val="21"/>
                <w:szCs w:val="21"/>
              </w:rPr>
              <w:t>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氮氧化物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41</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颗粒物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4.1</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馏分塔管式炉</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二氧化硫</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14</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氮氧化物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颗粒物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3.8</w:t>
            </w:r>
            <w:r>
              <w:rPr>
                <w:rFonts w:ascii="Times New Roman" w:hAnsi="Times New Roman" w:cs="Times New Roman"/>
                <w:color w:val="000000"/>
                <w:sz w:val="21"/>
                <w:szCs w:val="21"/>
              </w:rPr>
              <w:t>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导热油炉</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二氧化硫</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w:t>
            </w:r>
            <w:r>
              <w:rPr>
                <w:rFonts w:ascii="Times New Roman" w:hAnsi="Times New Roman" w:cs="Times New Roman"/>
                <w:color w:val="000000"/>
                <w:sz w:val="21"/>
                <w:szCs w:val="21"/>
              </w:rPr>
              <w:t>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Pr="00E74FF9"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E74FF9">
              <w:rPr>
                <w:rFonts w:ascii="Times New Roman" w:cs="Times New Roman" w:hint="eastAsia"/>
                <w:sz w:val="21"/>
                <w:szCs w:val="21"/>
              </w:rPr>
              <w:t>9</w:t>
            </w:r>
            <w:r w:rsidRPr="00E74FF9">
              <w:rPr>
                <w:rFonts w:ascii="Times New Roman" w:hAnsi="Times New Roman" w:cs="Times New Roman"/>
                <w:sz w:val="21"/>
                <w:szCs w:val="21"/>
              </w:rPr>
              <w:t xml:space="preserve"> mg/</w:t>
            </w:r>
            <w:r w:rsidRPr="00E74FF9">
              <w:rPr>
                <w:rFonts w:ascii="Times New Roman" w:eastAsia="仿宋_GB2312" w:hAnsi="Times New Roman" w:cs="Times New Roman"/>
                <w:sz w:val="21"/>
                <w:szCs w:val="21"/>
              </w:rPr>
              <w:t xml:space="preserve"> </w:t>
            </w:r>
            <w:r w:rsidRPr="00E74FF9">
              <w:rPr>
                <w:rFonts w:ascii="Times New Roman" w:hAnsi="Times New Roman" w:cs="Times New Roman"/>
                <w:sz w:val="21"/>
                <w:szCs w:val="21"/>
              </w:rPr>
              <w:t>Nm</w:t>
            </w:r>
            <w:r w:rsidRPr="00E74FF9">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氮氧化物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Pr="00E74FF9"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E74FF9">
              <w:rPr>
                <w:rFonts w:ascii="Times New Roman" w:hAnsi="Times New Roman" w:cs="Times New Roman" w:hint="eastAsia"/>
                <w:sz w:val="21"/>
                <w:szCs w:val="21"/>
              </w:rPr>
              <w:t>28</w:t>
            </w:r>
            <w:r w:rsidRPr="00E74FF9">
              <w:rPr>
                <w:rFonts w:ascii="Times New Roman" w:hAnsi="Times New Roman" w:cs="Times New Roman"/>
                <w:sz w:val="21"/>
                <w:szCs w:val="21"/>
              </w:rPr>
              <w:t>mg/</w:t>
            </w:r>
            <w:r w:rsidRPr="00E74FF9">
              <w:rPr>
                <w:rFonts w:ascii="Times New Roman" w:eastAsia="仿宋_GB2312" w:hAnsi="Times New Roman" w:cs="Times New Roman"/>
                <w:sz w:val="21"/>
                <w:szCs w:val="21"/>
              </w:rPr>
              <w:t xml:space="preserve"> </w:t>
            </w:r>
            <w:r w:rsidRPr="00E74FF9">
              <w:rPr>
                <w:rFonts w:ascii="Times New Roman" w:hAnsi="Times New Roman" w:cs="Times New Roman"/>
                <w:sz w:val="21"/>
                <w:szCs w:val="21"/>
              </w:rPr>
              <w:t>Nm</w:t>
            </w:r>
            <w:r w:rsidRPr="00E74FF9">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颗粒物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5</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Pr="00E74FF9"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E74FF9">
              <w:rPr>
                <w:rFonts w:ascii="Times New Roman" w:hAnsi="Times New Roman" w:cs="Times New Roman" w:hint="eastAsia"/>
                <w:sz w:val="21"/>
                <w:szCs w:val="21"/>
              </w:rPr>
              <w:t>4.4</w:t>
            </w:r>
            <w:r w:rsidRPr="00E74FF9">
              <w:rPr>
                <w:rFonts w:ascii="Times New Roman" w:hAnsi="Times New Roman" w:cs="Times New Roman"/>
                <w:sz w:val="21"/>
                <w:szCs w:val="21"/>
              </w:rPr>
              <w:t xml:space="preserve"> mg/</w:t>
            </w:r>
            <w:r w:rsidRPr="00E74FF9">
              <w:rPr>
                <w:rFonts w:ascii="Times New Roman" w:eastAsia="仿宋_GB2312" w:hAnsi="Times New Roman" w:cs="Times New Roman"/>
                <w:sz w:val="21"/>
                <w:szCs w:val="21"/>
              </w:rPr>
              <w:t xml:space="preserve"> </w:t>
            </w:r>
            <w:r w:rsidRPr="00E74FF9">
              <w:rPr>
                <w:rFonts w:ascii="Times New Roman" w:hAnsi="Times New Roman" w:cs="Times New Roman"/>
                <w:sz w:val="21"/>
                <w:szCs w:val="21"/>
              </w:rPr>
              <w:t>Nm</w:t>
            </w:r>
            <w:r w:rsidRPr="00E74FF9">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restart"/>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r w:rsidRPr="00261419">
              <w:rPr>
                <w:rFonts w:ascii="Times New Roman" w:hAnsi="Times New Roman" w:cs="Times New Roman"/>
              </w:rPr>
              <w:t>VOCs</w:t>
            </w:r>
            <w:r>
              <w:rPr>
                <w:rFonts w:hint="eastAsia"/>
              </w:rPr>
              <w:t>焚烧炉</w:t>
            </w: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二氧化硫</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2</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hint="eastAsia"/>
                <w:color w:val="000000"/>
                <w:sz w:val="21"/>
                <w:szCs w:val="21"/>
              </w:rPr>
              <w:t>19</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氮氧化物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w:t>
            </w:r>
            <w:r>
              <w:rPr>
                <w:rFonts w:ascii="Times New Roman" w:hAnsi="Times New Roman" w:cs="Times New Roman"/>
                <w:color w:val="000000"/>
                <w:sz w:val="21"/>
                <w:szCs w:val="21"/>
              </w:rPr>
              <w:t>00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46</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颗粒物</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30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6.6</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否</w:t>
            </w:r>
          </w:p>
        </w:tc>
      </w:tr>
      <w:tr w:rsidR="006D2B67" w:rsidTr="00886C7F">
        <w:trPr>
          <w:jc w:val="center"/>
        </w:trPr>
        <w:tc>
          <w:tcPr>
            <w:tcW w:w="953" w:type="dxa"/>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992" w:type="dxa"/>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r>
              <w:rPr>
                <w:rFonts w:ascii="Times New Roman" w:cs="Times New Roman" w:hint="eastAsia"/>
                <w:color w:val="000000"/>
                <w:sz w:val="21"/>
                <w:szCs w:val="21"/>
              </w:rPr>
              <w:t>非甲烷总烃</w:t>
            </w:r>
          </w:p>
        </w:tc>
        <w:tc>
          <w:tcPr>
            <w:tcW w:w="1843"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80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2126" w:type="dxa"/>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10</w:t>
            </w:r>
            <w:r>
              <w:rPr>
                <w:rFonts w:ascii="Times New Roman" w:hAnsi="Times New Roman" w:cs="Times New Roman"/>
                <w:color w:val="000000"/>
                <w:sz w:val="21"/>
                <w:szCs w:val="21"/>
              </w:rPr>
              <w:t xml:space="preserve"> mg/</w:t>
            </w:r>
            <w:r>
              <w:rPr>
                <w:rFonts w:ascii="Times New Roman" w:eastAsia="仿宋_GB2312" w:hAnsi="Times New Roman" w:cs="Times New Roman"/>
                <w:sz w:val="21"/>
                <w:szCs w:val="21"/>
              </w:rPr>
              <w:t xml:space="preserve"> </w:t>
            </w:r>
            <w:r>
              <w:rPr>
                <w:rFonts w:ascii="Times New Roman" w:hAnsi="Times New Roman" w:cs="Times New Roman"/>
                <w:sz w:val="21"/>
                <w:szCs w:val="21"/>
              </w:rPr>
              <w:t>Nm</w:t>
            </w:r>
            <w:r>
              <w:rPr>
                <w:rFonts w:ascii="Times New Roman" w:hAnsi="Times New Roman" w:cs="Times New Roman"/>
                <w:sz w:val="21"/>
                <w:szCs w:val="21"/>
                <w:vertAlign w:val="superscript"/>
              </w:rPr>
              <w:t>3</w:t>
            </w:r>
          </w:p>
        </w:tc>
        <w:tc>
          <w:tcPr>
            <w:tcW w:w="1253" w:type="dxa"/>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r>
              <w:rPr>
                <w:rFonts w:ascii="Times New Roman" w:cs="Times New Roman" w:hint="eastAsia"/>
                <w:color w:val="000000"/>
                <w:sz w:val="21"/>
                <w:szCs w:val="21"/>
              </w:rPr>
              <w:t>否</w:t>
            </w:r>
          </w:p>
        </w:tc>
      </w:tr>
      <w:tr w:rsidR="006D2B67" w:rsidTr="00886C7F">
        <w:trPr>
          <w:jc w:val="center"/>
        </w:trPr>
        <w:tc>
          <w:tcPr>
            <w:tcW w:w="1945" w:type="dxa"/>
            <w:gridSpan w:val="2"/>
            <w:vMerge w:val="restart"/>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r>
              <w:rPr>
                <w:rFonts w:ascii="Times New Roman" w:cs="Times New Roman"/>
                <w:color w:val="000000"/>
                <w:sz w:val="21"/>
                <w:szCs w:val="21"/>
              </w:rPr>
              <w:t>废水</w:t>
            </w: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hAnsi="Times New Roman" w:cs="Times New Roman"/>
                <w:sz w:val="21"/>
                <w:szCs w:val="21"/>
              </w:rPr>
              <w:t>pH</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sz w:val="21"/>
                <w:szCs w:val="21"/>
              </w:rPr>
              <w:t>6-9</w:t>
            </w:r>
            <w:r w:rsidRPr="00D76362">
              <w:rPr>
                <w:rFonts w:ascii="Times New Roman" w:hAnsi="Times New Roman" w:cs="Times New Roman" w:hint="eastAsia"/>
                <w:sz w:val="21"/>
                <w:szCs w:val="21"/>
              </w:rPr>
              <w:t>（无量纲）</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7.36-7.66</w:t>
            </w:r>
            <w:r w:rsidRPr="00D76362">
              <w:rPr>
                <w:rFonts w:ascii="Times New Roman" w:hAnsi="Times New Roman" w:cs="Times New Roman" w:hint="eastAsia"/>
                <w:sz w:val="21"/>
                <w:szCs w:val="21"/>
              </w:rPr>
              <w:t>（无量纲）</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hAnsi="Times New Roman" w:cs="Times New Roman"/>
                <w:sz w:val="21"/>
                <w:szCs w:val="21"/>
              </w:rPr>
              <w:t>COD</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150mg/L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110</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hAns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hAnsi="Times New Roman" w:cs="Times New Roman"/>
                <w:sz w:val="21"/>
                <w:szCs w:val="21"/>
              </w:rPr>
              <w:t>NH</w:t>
            </w:r>
            <w:r w:rsidRPr="0090223A">
              <w:rPr>
                <w:rFonts w:ascii="Times New Roman" w:hAnsi="Times New Roman" w:cs="Times New Roman"/>
                <w:sz w:val="21"/>
                <w:szCs w:val="21"/>
                <w:vertAlign w:val="subscript"/>
              </w:rPr>
              <w:t>3</w:t>
            </w:r>
            <w:r w:rsidRPr="0090223A">
              <w:rPr>
                <w:rFonts w:ascii="Times New Roman" w:hAnsi="Times New Roman" w:cs="Times New Roman"/>
                <w:sz w:val="21"/>
                <w:szCs w:val="21"/>
              </w:rPr>
              <w:t>-N</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2</w:t>
            </w:r>
            <w:r w:rsidRPr="00D76362">
              <w:rPr>
                <w:rFonts w:ascii="Times New Roman" w:hAnsi="Times New Roman" w:cs="Times New Roman"/>
                <w:sz w:val="21"/>
                <w:szCs w:val="21"/>
              </w:rPr>
              <w:t>5</w:t>
            </w:r>
            <w:r w:rsidRPr="00D76362">
              <w:rPr>
                <w:rFonts w:ascii="Times New Roman" w:hAnsi="Times New Roman" w:cs="Times New Roman" w:hint="eastAsia"/>
                <w:sz w:val="21"/>
                <w:szCs w:val="21"/>
              </w:rPr>
              <w:t xml:space="preserve">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0.962</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sidRPr="0090223A">
              <w:rPr>
                <w:rFonts w:ascii="Times New Roman" w:cs="Times New Roman" w:hint="eastAsia"/>
                <w:sz w:val="21"/>
                <w:szCs w:val="21"/>
              </w:rPr>
              <w:t>SS</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70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cs="Times New Roman" w:hint="eastAsia"/>
                <w:sz w:val="21"/>
                <w:szCs w:val="21"/>
              </w:rPr>
              <w:t>41</w:t>
            </w:r>
            <w:r w:rsidRPr="00D76362">
              <w:rPr>
                <w:rFonts w:ascii="Times New Roman" w:hAnsi="Times New Roman" w:cs="Times New Roman" w:hint="eastAsia"/>
                <w:sz w:val="21"/>
                <w:szCs w:val="21"/>
              </w:rPr>
              <w:t>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sidRPr="0090223A">
              <w:rPr>
                <w:rFonts w:ascii="Times New Roman" w:cs="Times New Roman" w:hint="eastAsia"/>
                <w:sz w:val="21"/>
                <w:szCs w:val="21"/>
              </w:rPr>
              <w:t>BOD</w:t>
            </w:r>
            <w:r w:rsidRPr="0090223A">
              <w:rPr>
                <w:rFonts w:ascii="Times New Roman" w:cs="Times New Roman" w:hint="eastAsia"/>
                <w:sz w:val="21"/>
                <w:szCs w:val="21"/>
                <w:vertAlign w:val="subscript"/>
              </w:rPr>
              <w:t>5</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30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hAnsi="Times New Roman" w:cs="Times New Roman" w:hint="eastAsia"/>
                <w:sz w:val="21"/>
                <w:szCs w:val="21"/>
              </w:rPr>
              <w:t>28.1</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sidRPr="0090223A">
              <w:rPr>
                <w:rFonts w:ascii="Times New Roman" w:cs="Times New Roman" w:hint="eastAsia"/>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石油类</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2.5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1.12</w:t>
            </w:r>
            <w:r w:rsidRPr="00D76362">
              <w:rPr>
                <w:rFonts w:ascii="Times New Roman" w:hAnsi="Times New Roman" w:cs="Times New Roman" w:hint="eastAsia"/>
                <w:sz w:val="21"/>
                <w:szCs w:val="21"/>
              </w:rPr>
              <w:t>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氰化物</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0.2mg/L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0.001L</w:t>
            </w:r>
            <w:r w:rsidRPr="00D76362">
              <w:rPr>
                <w:rFonts w:ascii="Times New Roman" w:hAnsi="Times New Roman" w:cs="Times New Roman" w:hint="eastAsia"/>
                <w:sz w:val="21"/>
                <w:szCs w:val="21"/>
              </w:rPr>
              <w:t>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挥发</w:t>
            </w:r>
            <w:proofErr w:type="gramStart"/>
            <w:r w:rsidRPr="0090223A">
              <w:rPr>
                <w:rFonts w:ascii="Times New Roman" w:cs="Times New Roman"/>
                <w:sz w:val="21"/>
                <w:szCs w:val="21"/>
              </w:rPr>
              <w:t>酚</w:t>
            </w:r>
            <w:proofErr w:type="gramEnd"/>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0.3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0.19</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苯</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sz w:val="21"/>
                <w:szCs w:val="21"/>
              </w:rPr>
              <w:t>0.</w:t>
            </w:r>
            <w:r w:rsidRPr="00D76362">
              <w:rPr>
                <w:rFonts w:ascii="Times New Roman" w:hAnsi="Times New Roman" w:cs="Times New Roman" w:hint="eastAsia"/>
                <w:sz w:val="21"/>
                <w:szCs w:val="21"/>
              </w:rPr>
              <w:t>1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sz w:val="21"/>
                <w:szCs w:val="21"/>
              </w:rPr>
              <w:t>0.0</w:t>
            </w:r>
            <w:r w:rsidRPr="00D76362">
              <w:rPr>
                <w:rFonts w:ascii="Times New Roman" w:hAnsi="Times New Roman" w:cs="Times New Roman" w:hint="eastAsia"/>
                <w:sz w:val="21"/>
                <w:szCs w:val="21"/>
              </w:rPr>
              <w:t>0</w:t>
            </w:r>
            <w:r w:rsidRPr="00D76362">
              <w:rPr>
                <w:rFonts w:ascii="Times New Roman" w:hAnsi="Times New Roman" w:cs="Times New Roman"/>
                <w:sz w:val="21"/>
                <w:szCs w:val="21"/>
              </w:rPr>
              <w:t>5</w:t>
            </w:r>
            <w:r w:rsidRPr="00D76362">
              <w:rPr>
                <w:rFonts w:ascii="Times New Roman" w:hAnsi="Times New Roman" w:cs="Times New Roman" w:hint="eastAsia"/>
                <w:sz w:val="21"/>
                <w:szCs w:val="21"/>
              </w:rPr>
              <w:t>L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90223A">
              <w:rPr>
                <w:rFonts w:ascii="Times New Roman" w:cs="Times New Roman"/>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cs="Times New Roman" w:hint="eastAsia"/>
                <w:sz w:val="21"/>
                <w:szCs w:val="21"/>
              </w:rPr>
              <w:t>总氮</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50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2.66</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cs="Times New Roman" w:hint="eastAsia"/>
                <w:sz w:val="21"/>
                <w:szCs w:val="21"/>
              </w:rPr>
              <w:t>否</w:t>
            </w:r>
          </w:p>
        </w:tc>
      </w:tr>
      <w:tr w:rsidR="006D2B67" w:rsidTr="00886C7F">
        <w:trPr>
          <w:jc w:val="center"/>
        </w:trPr>
        <w:tc>
          <w:tcPr>
            <w:tcW w:w="1945" w:type="dxa"/>
            <w:gridSpan w:val="2"/>
            <w:vMerge/>
            <w:vAlign w:val="center"/>
          </w:tcPr>
          <w:p w:rsidR="006D2B67" w:rsidRDefault="006D2B67" w:rsidP="00886C7F">
            <w:pPr>
              <w:pStyle w:val="a3"/>
              <w:spacing w:before="0" w:beforeAutospacing="0" w:after="0" w:afterAutospacing="0" w:line="400" w:lineRule="exact"/>
              <w:jc w:val="center"/>
              <w:rPr>
                <w:rFonts w:ascii="Times New Roman" w:cs="Times New Roman"/>
                <w:color w:val="000000"/>
                <w:sz w:val="21"/>
                <w:szCs w:val="21"/>
              </w:rPr>
            </w:pPr>
          </w:p>
        </w:tc>
        <w:tc>
          <w:tcPr>
            <w:tcW w:w="1701"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cs="Times New Roman" w:hint="eastAsia"/>
                <w:sz w:val="21"/>
                <w:szCs w:val="21"/>
              </w:rPr>
              <w:t>总磷</w:t>
            </w:r>
          </w:p>
        </w:tc>
        <w:tc>
          <w:tcPr>
            <w:tcW w:w="1843"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sidRPr="00D76362">
              <w:rPr>
                <w:rFonts w:ascii="Times New Roman" w:hAnsi="Times New Roman" w:cs="Times New Roman" w:hint="eastAsia"/>
                <w:sz w:val="21"/>
                <w:szCs w:val="21"/>
              </w:rPr>
              <w:t>3.0 mg/L</w:t>
            </w:r>
          </w:p>
        </w:tc>
        <w:tc>
          <w:tcPr>
            <w:tcW w:w="2126" w:type="dxa"/>
            <w:vAlign w:val="center"/>
          </w:tcPr>
          <w:p w:rsidR="006D2B67" w:rsidRPr="00D76362" w:rsidRDefault="006D2B67" w:rsidP="00886C7F">
            <w:pPr>
              <w:pStyle w:val="a3"/>
              <w:spacing w:before="0" w:beforeAutospacing="0" w:after="0" w:afterAutospacing="0" w:line="400" w:lineRule="exact"/>
              <w:jc w:val="center"/>
              <w:rPr>
                <w:rFonts w:ascii="Times New Roman" w:hAnsi="Times New Roman" w:cs="Times New Roman"/>
                <w:sz w:val="21"/>
                <w:szCs w:val="21"/>
              </w:rPr>
            </w:pPr>
            <w:r>
              <w:rPr>
                <w:rFonts w:ascii="Times New Roman" w:hAnsi="Times New Roman" w:cs="Times New Roman" w:hint="eastAsia"/>
                <w:sz w:val="21"/>
                <w:szCs w:val="21"/>
              </w:rPr>
              <w:t>0.37</w:t>
            </w:r>
            <w:r w:rsidRPr="00D76362">
              <w:rPr>
                <w:rFonts w:ascii="Times New Roman" w:hAnsi="Times New Roman" w:cs="Times New Roman" w:hint="eastAsia"/>
                <w:sz w:val="21"/>
                <w:szCs w:val="21"/>
              </w:rPr>
              <w:t xml:space="preserve"> mg/L</w:t>
            </w:r>
          </w:p>
        </w:tc>
        <w:tc>
          <w:tcPr>
            <w:tcW w:w="1253" w:type="dxa"/>
            <w:vAlign w:val="center"/>
          </w:tcPr>
          <w:p w:rsidR="006D2B67" w:rsidRPr="0090223A" w:rsidRDefault="006D2B67" w:rsidP="00886C7F">
            <w:pPr>
              <w:pStyle w:val="a3"/>
              <w:spacing w:before="0" w:beforeAutospacing="0" w:after="0" w:afterAutospacing="0" w:line="400" w:lineRule="exact"/>
              <w:jc w:val="center"/>
              <w:rPr>
                <w:rFonts w:ascii="Times New Roman" w:cs="Times New Roman"/>
                <w:sz w:val="21"/>
                <w:szCs w:val="21"/>
              </w:rPr>
            </w:pPr>
            <w:r>
              <w:rPr>
                <w:rFonts w:ascii="Times New Roman" w:cs="Times New Roman" w:hint="eastAsia"/>
                <w:sz w:val="21"/>
                <w:szCs w:val="21"/>
              </w:rPr>
              <w:t>否</w:t>
            </w:r>
          </w:p>
        </w:tc>
      </w:tr>
    </w:tbl>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由上表可知，各项污染物均达标排放。</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（3）总量控制情况</w:t>
      </w:r>
    </w:p>
    <w:tbl>
      <w:tblPr>
        <w:tblW w:w="0" w:type="auto"/>
        <w:jc w:val="center"/>
        <w:tblLayout w:type="fixed"/>
        <w:tblLook w:val="0000"/>
      </w:tblPr>
      <w:tblGrid>
        <w:gridCol w:w="2550"/>
        <w:gridCol w:w="1582"/>
        <w:gridCol w:w="1424"/>
        <w:gridCol w:w="1231"/>
        <w:gridCol w:w="1231"/>
      </w:tblGrid>
      <w:tr w:rsidR="006D2B67" w:rsidTr="00886C7F">
        <w:trPr>
          <w:trHeight w:val="311"/>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Ansi="宋体"/>
                <w:color w:val="000000"/>
                <w:kern w:val="0"/>
                <w:szCs w:val="21"/>
              </w:rPr>
              <w:t>污染物排放量</w:t>
            </w:r>
          </w:p>
        </w:tc>
        <w:tc>
          <w:tcPr>
            <w:tcW w:w="3006" w:type="dxa"/>
            <w:gridSpan w:val="2"/>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Ansi="宋体"/>
                <w:color w:val="000000"/>
                <w:kern w:val="0"/>
                <w:szCs w:val="21"/>
              </w:rPr>
              <w:t>水污染物</w:t>
            </w:r>
          </w:p>
        </w:tc>
        <w:tc>
          <w:tcPr>
            <w:tcW w:w="2462" w:type="dxa"/>
            <w:gridSpan w:val="2"/>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Ansi="宋体"/>
                <w:color w:val="000000"/>
                <w:kern w:val="0"/>
                <w:szCs w:val="21"/>
              </w:rPr>
              <w:t>大气污染物</w:t>
            </w:r>
          </w:p>
        </w:tc>
      </w:tr>
      <w:tr w:rsidR="006D2B67" w:rsidTr="00886C7F">
        <w:trPr>
          <w:trHeight w:val="311"/>
          <w:jc w:val="center"/>
        </w:trPr>
        <w:tc>
          <w:tcPr>
            <w:tcW w:w="2550" w:type="dxa"/>
            <w:vMerge/>
            <w:tcBorders>
              <w:top w:val="single" w:sz="4" w:space="0" w:color="auto"/>
              <w:left w:val="single" w:sz="4" w:space="0" w:color="auto"/>
              <w:bottom w:val="single" w:sz="4" w:space="0" w:color="auto"/>
              <w:right w:val="single" w:sz="4" w:space="0" w:color="auto"/>
            </w:tcBorders>
            <w:vAlign w:val="center"/>
          </w:tcPr>
          <w:p w:rsidR="006D2B67" w:rsidRDefault="006D2B67" w:rsidP="00886C7F">
            <w:pPr>
              <w:widowControl/>
              <w:jc w:val="center"/>
              <w:rPr>
                <w:color w:val="000000"/>
                <w:kern w:val="0"/>
                <w:szCs w:val="21"/>
              </w:rPr>
            </w:pPr>
          </w:p>
        </w:tc>
        <w:tc>
          <w:tcPr>
            <w:tcW w:w="1582" w:type="dxa"/>
            <w:tcBorders>
              <w:top w:val="nil"/>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color w:val="000000"/>
                <w:kern w:val="0"/>
                <w:szCs w:val="21"/>
              </w:rPr>
              <w:t>COD</w:t>
            </w:r>
          </w:p>
        </w:tc>
        <w:tc>
          <w:tcPr>
            <w:tcW w:w="1424" w:type="dxa"/>
            <w:tcBorders>
              <w:top w:val="nil"/>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color w:val="000000"/>
                <w:kern w:val="0"/>
                <w:szCs w:val="21"/>
              </w:rPr>
              <w:t>NH</w:t>
            </w:r>
            <w:r>
              <w:rPr>
                <w:color w:val="000000"/>
                <w:kern w:val="0"/>
                <w:szCs w:val="21"/>
                <w:vertAlign w:val="subscript"/>
              </w:rPr>
              <w:t>3</w:t>
            </w:r>
            <w:r>
              <w:rPr>
                <w:color w:val="000000"/>
                <w:kern w:val="0"/>
                <w:szCs w:val="21"/>
              </w:rPr>
              <w:t>-N</w:t>
            </w:r>
          </w:p>
        </w:tc>
        <w:tc>
          <w:tcPr>
            <w:tcW w:w="1231" w:type="dxa"/>
            <w:tcBorders>
              <w:top w:val="nil"/>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color w:val="000000"/>
                <w:kern w:val="0"/>
                <w:szCs w:val="21"/>
              </w:rPr>
              <w:t>SO</w:t>
            </w:r>
            <w:r>
              <w:rPr>
                <w:color w:val="000000"/>
                <w:kern w:val="0"/>
                <w:szCs w:val="21"/>
                <w:vertAlign w:val="subscript"/>
              </w:rPr>
              <w:t>2</w:t>
            </w:r>
          </w:p>
        </w:tc>
        <w:tc>
          <w:tcPr>
            <w:tcW w:w="1231" w:type="dxa"/>
            <w:tcBorders>
              <w:top w:val="nil"/>
              <w:left w:val="nil"/>
              <w:bottom w:val="single" w:sz="4" w:space="0" w:color="auto"/>
              <w:right w:val="single" w:sz="4" w:space="0" w:color="auto"/>
            </w:tcBorders>
            <w:vAlign w:val="center"/>
          </w:tcPr>
          <w:p w:rsidR="006D2B67" w:rsidRDefault="006D2B67" w:rsidP="00886C7F">
            <w:pPr>
              <w:jc w:val="center"/>
              <w:rPr>
                <w:color w:val="000000"/>
                <w:kern w:val="0"/>
                <w:szCs w:val="21"/>
              </w:rPr>
            </w:pPr>
            <w:r>
              <w:rPr>
                <w:color w:val="000000"/>
                <w:kern w:val="0"/>
                <w:szCs w:val="21"/>
              </w:rPr>
              <w:t>NO</w:t>
            </w:r>
            <w:r>
              <w:rPr>
                <w:color w:val="000000"/>
                <w:kern w:val="0"/>
                <w:szCs w:val="21"/>
                <w:vertAlign w:val="subscript"/>
              </w:rPr>
              <w:t>X</w:t>
            </w:r>
          </w:p>
        </w:tc>
      </w:tr>
      <w:tr w:rsidR="006D2B67" w:rsidTr="00886C7F">
        <w:trPr>
          <w:trHeight w:val="311"/>
          <w:jc w:val="center"/>
        </w:trPr>
        <w:tc>
          <w:tcPr>
            <w:tcW w:w="2550" w:type="dxa"/>
            <w:tcBorders>
              <w:top w:val="single" w:sz="4" w:space="0" w:color="auto"/>
              <w:left w:val="single" w:sz="4" w:space="0" w:color="auto"/>
              <w:bottom w:val="single" w:sz="4" w:space="0" w:color="auto"/>
              <w:right w:val="single" w:sz="4" w:space="0" w:color="auto"/>
            </w:tcBorders>
            <w:vAlign w:val="center"/>
          </w:tcPr>
          <w:p w:rsidR="006D2B67" w:rsidRDefault="006D2B67" w:rsidP="00886C7F">
            <w:pPr>
              <w:widowControl/>
              <w:jc w:val="center"/>
              <w:rPr>
                <w:color w:val="000000"/>
                <w:kern w:val="0"/>
                <w:szCs w:val="21"/>
              </w:rPr>
            </w:pPr>
            <w:r>
              <w:rPr>
                <w:szCs w:val="21"/>
              </w:rPr>
              <w:t>核定的排放总量</w:t>
            </w:r>
            <w:r>
              <w:rPr>
                <w:rFonts w:hint="eastAsia"/>
                <w:szCs w:val="21"/>
              </w:rPr>
              <w:t>（</w:t>
            </w:r>
            <w:r>
              <w:rPr>
                <w:rFonts w:hint="eastAsia"/>
                <w:szCs w:val="21"/>
              </w:rPr>
              <w:t>t/a</w:t>
            </w:r>
            <w:r>
              <w:rPr>
                <w:rFonts w:hint="eastAsia"/>
                <w:szCs w:val="21"/>
              </w:rPr>
              <w:t>）</w:t>
            </w:r>
          </w:p>
        </w:tc>
        <w:tc>
          <w:tcPr>
            <w:tcW w:w="1582"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color w:val="000000"/>
                <w:kern w:val="0"/>
                <w:szCs w:val="21"/>
              </w:rPr>
              <w:t>10.</w:t>
            </w:r>
            <w:r>
              <w:rPr>
                <w:rFonts w:hint="eastAsia"/>
                <w:color w:val="000000"/>
                <w:kern w:val="0"/>
                <w:szCs w:val="21"/>
              </w:rPr>
              <w:t>1</w:t>
            </w:r>
          </w:p>
        </w:tc>
        <w:tc>
          <w:tcPr>
            <w:tcW w:w="1424"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color w:val="000000"/>
                <w:kern w:val="0"/>
                <w:szCs w:val="21"/>
              </w:rPr>
              <w:t>0.</w:t>
            </w:r>
            <w:r>
              <w:rPr>
                <w:rFonts w:hint="eastAsia"/>
                <w:color w:val="000000"/>
                <w:kern w:val="0"/>
                <w:szCs w:val="21"/>
              </w:rPr>
              <w:t>461</w:t>
            </w:r>
          </w:p>
        </w:tc>
        <w:tc>
          <w:tcPr>
            <w:tcW w:w="1231"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int="eastAsia"/>
                <w:color w:val="000000"/>
                <w:kern w:val="0"/>
                <w:szCs w:val="21"/>
              </w:rPr>
              <w:t>3.543</w:t>
            </w:r>
          </w:p>
        </w:tc>
        <w:tc>
          <w:tcPr>
            <w:tcW w:w="1231" w:type="dxa"/>
            <w:tcBorders>
              <w:top w:val="single" w:sz="4" w:space="0" w:color="auto"/>
              <w:left w:val="nil"/>
              <w:bottom w:val="single" w:sz="4" w:space="0" w:color="auto"/>
              <w:right w:val="single" w:sz="4" w:space="0" w:color="auto"/>
            </w:tcBorders>
            <w:vAlign w:val="center"/>
          </w:tcPr>
          <w:p w:rsidR="006D2B67" w:rsidRDefault="006D2B67" w:rsidP="00886C7F">
            <w:pPr>
              <w:jc w:val="center"/>
              <w:rPr>
                <w:color w:val="000000"/>
                <w:kern w:val="0"/>
                <w:szCs w:val="21"/>
              </w:rPr>
            </w:pPr>
            <w:r>
              <w:rPr>
                <w:rFonts w:hint="eastAsia"/>
                <w:color w:val="000000"/>
                <w:kern w:val="0"/>
                <w:szCs w:val="21"/>
              </w:rPr>
              <w:t>4.623</w:t>
            </w:r>
          </w:p>
        </w:tc>
      </w:tr>
      <w:tr w:rsidR="006D2B67" w:rsidTr="00886C7F">
        <w:trPr>
          <w:trHeight w:val="311"/>
          <w:jc w:val="center"/>
        </w:trPr>
        <w:tc>
          <w:tcPr>
            <w:tcW w:w="2550" w:type="dxa"/>
            <w:tcBorders>
              <w:top w:val="single" w:sz="4" w:space="0" w:color="auto"/>
              <w:left w:val="single" w:sz="4" w:space="0" w:color="auto"/>
              <w:bottom w:val="single" w:sz="4" w:space="0" w:color="auto"/>
              <w:right w:val="single" w:sz="4" w:space="0" w:color="auto"/>
            </w:tcBorders>
            <w:vAlign w:val="center"/>
          </w:tcPr>
          <w:p w:rsidR="006D2B67" w:rsidRDefault="006D2B67" w:rsidP="00886C7F">
            <w:pPr>
              <w:widowControl/>
              <w:jc w:val="center"/>
              <w:rPr>
                <w:szCs w:val="21"/>
              </w:rPr>
            </w:pPr>
            <w:r>
              <w:rPr>
                <w:rFonts w:hint="eastAsia"/>
                <w:szCs w:val="21"/>
              </w:rPr>
              <w:t>年排放量（</w:t>
            </w:r>
            <w:r>
              <w:rPr>
                <w:rFonts w:hint="eastAsia"/>
                <w:szCs w:val="21"/>
              </w:rPr>
              <w:t>t/a</w:t>
            </w:r>
            <w:r>
              <w:rPr>
                <w:rFonts w:hint="eastAsia"/>
                <w:szCs w:val="21"/>
              </w:rPr>
              <w:t>）</w:t>
            </w:r>
          </w:p>
        </w:tc>
        <w:tc>
          <w:tcPr>
            <w:tcW w:w="1582"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int="eastAsia"/>
                <w:color w:val="000000"/>
                <w:kern w:val="0"/>
                <w:szCs w:val="21"/>
              </w:rPr>
              <w:t>4.18</w:t>
            </w:r>
          </w:p>
        </w:tc>
        <w:tc>
          <w:tcPr>
            <w:tcW w:w="1424"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int="eastAsia"/>
                <w:color w:val="000000"/>
                <w:kern w:val="0"/>
                <w:szCs w:val="21"/>
              </w:rPr>
              <w:t>0.037</w:t>
            </w:r>
          </w:p>
        </w:tc>
        <w:tc>
          <w:tcPr>
            <w:tcW w:w="1231" w:type="dxa"/>
            <w:tcBorders>
              <w:top w:val="single" w:sz="4" w:space="0" w:color="auto"/>
              <w:left w:val="nil"/>
              <w:bottom w:val="single" w:sz="4" w:space="0" w:color="auto"/>
              <w:right w:val="single" w:sz="4" w:space="0" w:color="auto"/>
            </w:tcBorders>
            <w:vAlign w:val="center"/>
          </w:tcPr>
          <w:p w:rsidR="006D2B67" w:rsidRDefault="006D2B67" w:rsidP="00886C7F">
            <w:pPr>
              <w:widowControl/>
              <w:jc w:val="center"/>
              <w:rPr>
                <w:color w:val="000000"/>
                <w:kern w:val="0"/>
                <w:szCs w:val="21"/>
              </w:rPr>
            </w:pPr>
            <w:r>
              <w:rPr>
                <w:rFonts w:hint="eastAsia"/>
                <w:color w:val="000000"/>
                <w:kern w:val="0"/>
                <w:szCs w:val="21"/>
              </w:rPr>
              <w:t>1.383</w:t>
            </w:r>
          </w:p>
        </w:tc>
        <w:tc>
          <w:tcPr>
            <w:tcW w:w="1231" w:type="dxa"/>
            <w:tcBorders>
              <w:top w:val="single" w:sz="4" w:space="0" w:color="auto"/>
              <w:left w:val="nil"/>
              <w:bottom w:val="single" w:sz="4" w:space="0" w:color="auto"/>
              <w:right w:val="single" w:sz="4" w:space="0" w:color="auto"/>
            </w:tcBorders>
            <w:vAlign w:val="center"/>
          </w:tcPr>
          <w:p w:rsidR="006D2B67" w:rsidRPr="005902D0" w:rsidRDefault="006D2B67" w:rsidP="00886C7F">
            <w:pPr>
              <w:widowControl/>
              <w:jc w:val="center"/>
              <w:rPr>
                <w:kern w:val="0"/>
                <w:szCs w:val="21"/>
              </w:rPr>
            </w:pPr>
            <w:r>
              <w:rPr>
                <w:rFonts w:hint="eastAsia"/>
                <w:kern w:val="0"/>
                <w:szCs w:val="21"/>
              </w:rPr>
              <w:t>4.521</w:t>
            </w:r>
          </w:p>
        </w:tc>
      </w:tr>
    </w:tbl>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由上表可知，各项污染物排放量均满足总量控制要求。</w:t>
      </w:r>
    </w:p>
    <w:p w:rsidR="006D2B67" w:rsidRPr="007A46F4" w:rsidRDefault="002B1871"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（4）</w:t>
      </w:r>
      <w:r w:rsidR="006D2B67" w:rsidRPr="007A46F4">
        <w:rPr>
          <w:rFonts w:ascii="仿宋_GB2312" w:eastAsia="仿宋_GB2312" w:hAnsi="Times New Roman" w:cs="Times New Roman" w:hint="eastAsia"/>
          <w:sz w:val="32"/>
          <w:szCs w:val="32"/>
        </w:rPr>
        <w:t>危险废物</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唐山开滦</w:t>
      </w:r>
      <w:proofErr w:type="gramStart"/>
      <w:r w:rsidRPr="007A46F4">
        <w:rPr>
          <w:rFonts w:ascii="仿宋_GB2312" w:eastAsia="仿宋_GB2312" w:hAnsi="Times New Roman" w:cs="Times New Roman" w:hint="eastAsia"/>
          <w:sz w:val="32"/>
          <w:szCs w:val="32"/>
        </w:rPr>
        <w:t>炭素</w:t>
      </w:r>
      <w:proofErr w:type="gramEnd"/>
      <w:r w:rsidRPr="007A46F4">
        <w:rPr>
          <w:rFonts w:ascii="仿宋_GB2312" w:eastAsia="仿宋_GB2312" w:hAnsi="Times New Roman" w:cs="Times New Roman" w:hint="eastAsia"/>
          <w:sz w:val="32"/>
          <w:szCs w:val="32"/>
        </w:rPr>
        <w:t>化工有限公司涉及到的危险</w:t>
      </w:r>
      <w:proofErr w:type="gramStart"/>
      <w:r w:rsidRPr="007A46F4">
        <w:rPr>
          <w:rFonts w:ascii="仿宋_GB2312" w:eastAsia="仿宋_GB2312" w:hAnsi="Times New Roman" w:cs="Times New Roman" w:hint="eastAsia"/>
          <w:sz w:val="32"/>
          <w:szCs w:val="32"/>
        </w:rPr>
        <w:t>废物为沾有</w:t>
      </w:r>
      <w:proofErr w:type="gramEnd"/>
      <w:r w:rsidRPr="007A46F4">
        <w:rPr>
          <w:rFonts w:ascii="仿宋_GB2312" w:eastAsia="仿宋_GB2312" w:hAnsi="Times New Roman" w:cs="Times New Roman" w:hint="eastAsia"/>
          <w:sz w:val="32"/>
          <w:szCs w:val="32"/>
        </w:rPr>
        <w:t>煤焦油的岩棉和取样桶（HW49）、废矿物油（HW08）、废导热油（HW08）、沾有矿物油和油漆的桶（HW49）。</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2019年度产生废矿物油0.9吨，沾有煤焦油的岩棉和取样桶19吨，废导热油41.76吨。转移废矿物油1.6吨，沾有煤焦油的岩棉和取样桶20吨，废导热油41.76吨。目前</w:t>
      </w:r>
      <w:proofErr w:type="gramStart"/>
      <w:r w:rsidRPr="007A46F4">
        <w:rPr>
          <w:rFonts w:ascii="仿宋_GB2312" w:eastAsia="仿宋_GB2312" w:hAnsi="Times New Roman" w:cs="Times New Roman" w:hint="eastAsia"/>
          <w:sz w:val="32"/>
          <w:szCs w:val="32"/>
        </w:rPr>
        <w:t>危废间</w:t>
      </w:r>
      <w:proofErr w:type="gramEnd"/>
      <w:r w:rsidRPr="007A46F4">
        <w:rPr>
          <w:rFonts w:ascii="仿宋_GB2312" w:eastAsia="仿宋_GB2312" w:hAnsi="Times New Roman" w:cs="Times New Roman" w:hint="eastAsia"/>
          <w:sz w:val="32"/>
          <w:szCs w:val="32"/>
        </w:rPr>
        <w:t>库存为0。废矿物油和废导热油的处置单位为唐山国贸唐山市国贸润滑油脂有限公司，沾有煤焦油的岩棉和取样桶、沾有矿物油和油漆的桶的处置单位为唐山</w:t>
      </w:r>
      <w:proofErr w:type="gramStart"/>
      <w:r w:rsidRPr="007A46F4">
        <w:rPr>
          <w:rFonts w:ascii="仿宋_GB2312" w:eastAsia="仿宋_GB2312" w:hAnsi="Times New Roman" w:cs="Times New Roman" w:hint="eastAsia"/>
          <w:sz w:val="32"/>
          <w:szCs w:val="32"/>
        </w:rPr>
        <w:t>浩</w:t>
      </w:r>
      <w:proofErr w:type="gramEnd"/>
      <w:r w:rsidRPr="007A46F4">
        <w:rPr>
          <w:rFonts w:ascii="仿宋_GB2312" w:eastAsia="仿宋_GB2312" w:hAnsi="Times New Roman" w:cs="Times New Roman" w:hint="eastAsia"/>
          <w:sz w:val="32"/>
          <w:szCs w:val="32"/>
        </w:rPr>
        <w:t>昌杰环保科技有限公司。</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w:t>
      </w:r>
      <w:r w:rsidR="002B1871" w:rsidRPr="007A46F4">
        <w:rPr>
          <w:rFonts w:ascii="仿宋_GB2312" w:eastAsia="仿宋_GB2312" w:hAnsi="Times New Roman" w:cs="Times New Roman" w:hint="eastAsia"/>
          <w:sz w:val="32"/>
          <w:szCs w:val="32"/>
        </w:rPr>
        <w:t>5</w:t>
      </w:r>
      <w:r w:rsidRPr="007A46F4">
        <w:rPr>
          <w:rFonts w:ascii="仿宋_GB2312" w:eastAsia="仿宋_GB2312" w:hAnsi="Times New Roman" w:cs="Times New Roman" w:hint="eastAsia"/>
          <w:sz w:val="32"/>
          <w:szCs w:val="32"/>
        </w:rPr>
        <w:t>）</w:t>
      </w:r>
      <w:r w:rsidRPr="007A46F4">
        <w:rPr>
          <w:rFonts w:ascii="仿宋_GB2312" w:eastAsia="仿宋_GB2312" w:hAnsi="Times New Roman" w:cs="Times New Roman"/>
          <w:sz w:val="32"/>
          <w:szCs w:val="32"/>
        </w:rPr>
        <w:t>防治污染设施的建设和运行情况</w:t>
      </w:r>
      <w:r w:rsidRPr="007A46F4">
        <w:rPr>
          <w:rFonts w:ascii="仿宋_GB2312" w:eastAsia="仿宋_GB2312" w:hAnsi="Times New Roman" w:cs="Times New Roman"/>
          <w:sz w:val="32"/>
          <w:szCs w:val="32"/>
        </w:rPr>
        <w:tab/>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生产过程中产生的废气经烟气洗涤后通过VOCs焚烧炉焚烧达标排放；污水</w:t>
      </w:r>
      <w:proofErr w:type="gramStart"/>
      <w:r w:rsidRPr="007A46F4">
        <w:rPr>
          <w:rFonts w:ascii="仿宋_GB2312" w:eastAsia="仿宋_GB2312" w:hAnsi="Times New Roman" w:cs="Times New Roman" w:hint="eastAsia"/>
          <w:sz w:val="32"/>
          <w:szCs w:val="32"/>
        </w:rPr>
        <w:t>排入中润公司</w:t>
      </w:r>
      <w:proofErr w:type="gramEnd"/>
      <w:r w:rsidRPr="007A46F4">
        <w:rPr>
          <w:rFonts w:ascii="仿宋_GB2312" w:eastAsia="仿宋_GB2312" w:hAnsi="Times New Roman" w:cs="Times New Roman" w:hint="eastAsia"/>
          <w:sz w:val="32"/>
          <w:szCs w:val="32"/>
        </w:rPr>
        <w:t>污水处理系统，经污水处</w:t>
      </w:r>
      <w:r w:rsidRPr="007A46F4">
        <w:rPr>
          <w:rFonts w:ascii="仿宋_GB2312" w:eastAsia="仿宋_GB2312" w:hAnsi="Times New Roman" w:cs="Times New Roman" w:hint="eastAsia"/>
          <w:sz w:val="32"/>
          <w:szCs w:val="32"/>
        </w:rPr>
        <w:lastRenderedPageBreak/>
        <w:t>理系统统一处理后达标排放。</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w:t>
      </w:r>
      <w:r w:rsidR="002B1871" w:rsidRPr="007A46F4">
        <w:rPr>
          <w:rFonts w:ascii="仿宋_GB2312" w:eastAsia="仿宋_GB2312" w:hAnsi="Times New Roman" w:cs="Times New Roman" w:hint="eastAsia"/>
          <w:sz w:val="32"/>
          <w:szCs w:val="32"/>
        </w:rPr>
        <w:t>6</w:t>
      </w:r>
      <w:r w:rsidRPr="007A46F4">
        <w:rPr>
          <w:rFonts w:ascii="仿宋_GB2312" w:eastAsia="仿宋_GB2312" w:hAnsi="Times New Roman" w:cs="Times New Roman" w:hint="eastAsia"/>
          <w:sz w:val="32"/>
          <w:szCs w:val="32"/>
        </w:rPr>
        <w:t>）</w:t>
      </w:r>
      <w:r w:rsidRPr="007A46F4">
        <w:rPr>
          <w:rFonts w:ascii="仿宋_GB2312" w:eastAsia="仿宋_GB2312" w:hAnsi="Times New Roman" w:cs="Times New Roman"/>
          <w:sz w:val="32"/>
          <w:szCs w:val="32"/>
        </w:rPr>
        <w:t>建设项目环境影响评价及其他环境保护行政许可情况</w:t>
      </w:r>
    </w:p>
    <w:p w:rsidR="006D2B67" w:rsidRPr="007A46F4" w:rsidRDefault="007A46F4"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唐山开滦</w:t>
      </w:r>
      <w:proofErr w:type="gramStart"/>
      <w:r w:rsidRPr="007A46F4">
        <w:rPr>
          <w:rFonts w:ascii="仿宋_GB2312" w:eastAsia="仿宋_GB2312" w:hAnsi="Times New Roman" w:cs="Times New Roman" w:hint="eastAsia"/>
          <w:sz w:val="32"/>
          <w:szCs w:val="32"/>
        </w:rPr>
        <w:t>炭素</w:t>
      </w:r>
      <w:proofErr w:type="gramEnd"/>
      <w:r w:rsidRPr="007A46F4">
        <w:rPr>
          <w:rFonts w:ascii="仿宋_GB2312" w:eastAsia="仿宋_GB2312" w:hAnsi="Times New Roman" w:cs="Times New Roman" w:hint="eastAsia"/>
          <w:sz w:val="32"/>
          <w:szCs w:val="32"/>
        </w:rPr>
        <w:t>化工有限公司</w:t>
      </w:r>
      <w:r w:rsidR="006D2B67" w:rsidRPr="007A46F4">
        <w:rPr>
          <w:rFonts w:ascii="仿宋_GB2312" w:eastAsia="仿宋_GB2312" w:hAnsi="Times New Roman" w:cs="Times New Roman" w:hint="eastAsia"/>
          <w:sz w:val="32"/>
          <w:szCs w:val="32"/>
        </w:rPr>
        <w:t>严格按照</w:t>
      </w:r>
      <w:r w:rsidR="006D2B67" w:rsidRPr="007A46F4">
        <w:rPr>
          <w:rFonts w:ascii="仿宋_GB2312" w:eastAsia="仿宋_GB2312" w:hAnsi="Times New Roman" w:cs="Times New Roman"/>
          <w:sz w:val="32"/>
          <w:szCs w:val="32"/>
        </w:rPr>
        <w:t>《环境影响评价法》和《建设项目环境保护管理条例》的规定，</w:t>
      </w:r>
      <w:r w:rsidR="006D2B67" w:rsidRPr="007A46F4">
        <w:rPr>
          <w:rFonts w:ascii="仿宋_GB2312" w:eastAsia="仿宋_GB2312" w:hAnsi="Times New Roman" w:cs="Times New Roman" w:hint="eastAsia"/>
          <w:sz w:val="32"/>
          <w:szCs w:val="32"/>
        </w:rPr>
        <w:t>对建设项目</w:t>
      </w:r>
      <w:r w:rsidR="006D2B67" w:rsidRPr="007A46F4">
        <w:rPr>
          <w:rFonts w:ascii="仿宋_GB2312" w:eastAsia="仿宋_GB2312" w:hAnsi="Times New Roman" w:cs="Times New Roman"/>
          <w:sz w:val="32"/>
          <w:szCs w:val="32"/>
        </w:rPr>
        <w:t>进行环境影响评价，</w:t>
      </w:r>
      <w:r w:rsidR="006D2B67" w:rsidRPr="007A46F4">
        <w:rPr>
          <w:rFonts w:ascii="仿宋_GB2312" w:eastAsia="仿宋_GB2312" w:hAnsi="Times New Roman" w:cs="Times New Roman" w:hint="eastAsia"/>
          <w:sz w:val="32"/>
          <w:szCs w:val="32"/>
        </w:rPr>
        <w:t>并积极办理环保行政主管部门的审批和验收手续，环保设施</w:t>
      </w:r>
      <w:r w:rsidR="006D2B67" w:rsidRPr="007A46F4">
        <w:rPr>
          <w:rFonts w:ascii="仿宋_GB2312" w:eastAsia="仿宋_GB2312" w:hAnsi="Times New Roman" w:cs="Times New Roman"/>
          <w:sz w:val="32"/>
          <w:szCs w:val="32"/>
        </w:rPr>
        <w:t>与主体工程同时设计、同时施工、同时投产使用</w:t>
      </w:r>
      <w:r w:rsidR="006D2B67" w:rsidRPr="007A46F4">
        <w:rPr>
          <w:rFonts w:ascii="仿宋_GB2312" w:eastAsia="仿宋_GB2312" w:hAnsi="Times New Roman" w:cs="Times New Roman" w:hint="eastAsia"/>
          <w:sz w:val="32"/>
          <w:szCs w:val="32"/>
        </w:rPr>
        <w:t>；严格落实《排污许可证管理暂行规定》要求，在规定的期限内申请排污许可证，并取得地方环保部门颁发的排污许可证。</w:t>
      </w:r>
    </w:p>
    <w:p w:rsidR="006D2B67" w:rsidRPr="007A46F4" w:rsidRDefault="006D2B67"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w:t>
      </w:r>
      <w:r w:rsidR="002B1871" w:rsidRPr="007A46F4">
        <w:rPr>
          <w:rFonts w:ascii="仿宋_GB2312" w:eastAsia="仿宋_GB2312" w:hAnsi="Times New Roman" w:cs="Times New Roman" w:hint="eastAsia"/>
          <w:sz w:val="32"/>
          <w:szCs w:val="32"/>
        </w:rPr>
        <w:t>7</w:t>
      </w:r>
      <w:r w:rsidRPr="007A46F4">
        <w:rPr>
          <w:rFonts w:ascii="仿宋_GB2312" w:eastAsia="仿宋_GB2312" w:hAnsi="Times New Roman" w:cs="Times New Roman" w:hint="eastAsia"/>
          <w:sz w:val="32"/>
          <w:szCs w:val="32"/>
        </w:rPr>
        <w:t>）</w:t>
      </w:r>
      <w:r w:rsidRPr="007A46F4">
        <w:rPr>
          <w:rFonts w:ascii="仿宋_GB2312" w:eastAsia="仿宋_GB2312" w:hAnsi="Times New Roman" w:cs="Times New Roman"/>
          <w:sz w:val="32"/>
          <w:szCs w:val="32"/>
        </w:rPr>
        <w:t>突发环境事件应急预案</w:t>
      </w:r>
    </w:p>
    <w:p w:rsidR="006D2B67" w:rsidRPr="007A46F4" w:rsidRDefault="00DA3BD6"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公司</w:t>
      </w:r>
      <w:r w:rsidR="006D2B67" w:rsidRPr="007A46F4">
        <w:rPr>
          <w:rFonts w:ascii="仿宋_GB2312" w:eastAsia="仿宋_GB2312" w:hAnsi="Times New Roman" w:cs="Times New Roman"/>
          <w:sz w:val="32"/>
          <w:szCs w:val="32"/>
        </w:rPr>
        <w:t>《</w:t>
      </w:r>
      <w:r w:rsidR="006D2B67" w:rsidRPr="007A46F4">
        <w:rPr>
          <w:rFonts w:ascii="仿宋_GB2312" w:eastAsia="仿宋_GB2312" w:hAnsi="Times New Roman" w:cs="Times New Roman" w:hint="eastAsia"/>
          <w:sz w:val="32"/>
          <w:szCs w:val="32"/>
        </w:rPr>
        <w:t>突发</w:t>
      </w:r>
      <w:r w:rsidR="006D2B67" w:rsidRPr="007A46F4">
        <w:rPr>
          <w:rFonts w:ascii="仿宋_GB2312" w:eastAsia="仿宋_GB2312" w:hAnsi="Times New Roman" w:cs="Times New Roman"/>
          <w:sz w:val="32"/>
          <w:szCs w:val="32"/>
        </w:rPr>
        <w:t>环境事件应急预案》</w:t>
      </w:r>
      <w:r w:rsidR="002B1871" w:rsidRPr="007A46F4">
        <w:rPr>
          <w:rFonts w:ascii="仿宋_GB2312" w:eastAsia="仿宋_GB2312" w:hAnsi="Times New Roman" w:cs="Times New Roman" w:hint="eastAsia"/>
          <w:sz w:val="32"/>
          <w:szCs w:val="32"/>
        </w:rPr>
        <w:t>已</w:t>
      </w:r>
      <w:r w:rsidR="006D2B67" w:rsidRPr="007A46F4">
        <w:rPr>
          <w:rFonts w:ascii="仿宋_GB2312" w:eastAsia="仿宋_GB2312" w:hAnsi="Times New Roman" w:cs="Times New Roman" w:hint="eastAsia"/>
          <w:sz w:val="32"/>
          <w:szCs w:val="32"/>
        </w:rPr>
        <w:t>在地方环保部门备案</w:t>
      </w:r>
      <w:r w:rsidR="006D2B67" w:rsidRPr="007A46F4">
        <w:rPr>
          <w:rFonts w:ascii="仿宋_GB2312" w:eastAsia="仿宋_GB2312" w:hAnsi="Times New Roman" w:cs="Times New Roman"/>
          <w:sz w:val="32"/>
          <w:szCs w:val="32"/>
        </w:rPr>
        <w:t>。</w:t>
      </w:r>
    </w:p>
    <w:p w:rsidR="00516975" w:rsidRPr="007A46F4" w:rsidRDefault="00702F6D" w:rsidP="007A46F4">
      <w:pPr>
        <w:spacing w:line="580" w:lineRule="exact"/>
        <w:ind w:firstLineChars="200" w:firstLine="640"/>
        <w:rPr>
          <w:rFonts w:ascii="仿宋_GB2312" w:eastAsia="仿宋_GB2312" w:hAnsi="Times New Roman" w:cs="Times New Roman"/>
          <w:sz w:val="32"/>
          <w:szCs w:val="32"/>
        </w:rPr>
      </w:pPr>
      <w:r w:rsidRPr="007A46F4">
        <w:rPr>
          <w:rFonts w:ascii="仿宋_GB2312" w:eastAsia="仿宋_GB2312" w:hAnsi="Times New Roman" w:cs="Times New Roman" w:hint="eastAsia"/>
          <w:sz w:val="32"/>
          <w:szCs w:val="32"/>
        </w:rPr>
        <w:t>（8）</w:t>
      </w:r>
      <w:r w:rsidR="002D476F" w:rsidRPr="007A46F4">
        <w:rPr>
          <w:rFonts w:ascii="仿宋_GB2312" w:eastAsia="仿宋_GB2312" w:hAnsi="Times New Roman" w:cs="Times New Roman" w:hint="eastAsia"/>
          <w:sz w:val="32"/>
          <w:szCs w:val="32"/>
        </w:rPr>
        <w:t>公司</w:t>
      </w:r>
      <w:r w:rsidRPr="007A46F4">
        <w:rPr>
          <w:rFonts w:ascii="仿宋_GB2312" w:eastAsia="仿宋_GB2312" w:hAnsi="Times New Roman" w:cs="Times New Roman" w:hint="eastAsia"/>
          <w:sz w:val="32"/>
          <w:szCs w:val="32"/>
        </w:rPr>
        <w:t>每季度委托第三方公司进行环境监测。</w:t>
      </w:r>
    </w:p>
    <w:sectPr w:rsidR="00516975" w:rsidRPr="007A46F4" w:rsidSect="007A46F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E4" w:rsidRDefault="008031E4" w:rsidP="007A46F4">
      <w:r>
        <w:separator/>
      </w:r>
    </w:p>
  </w:endnote>
  <w:endnote w:type="continuationSeparator" w:id="0">
    <w:p w:rsidR="008031E4" w:rsidRDefault="008031E4" w:rsidP="007A4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简小标宋">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E4" w:rsidRDefault="008031E4" w:rsidP="007A46F4">
      <w:r>
        <w:separator/>
      </w:r>
    </w:p>
  </w:footnote>
  <w:footnote w:type="continuationSeparator" w:id="0">
    <w:p w:rsidR="008031E4" w:rsidRDefault="008031E4" w:rsidP="007A46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15"/>
    <w:rsid w:val="00091856"/>
    <w:rsid w:val="002343EC"/>
    <w:rsid w:val="00256868"/>
    <w:rsid w:val="002B1871"/>
    <w:rsid w:val="002D476F"/>
    <w:rsid w:val="003B46F7"/>
    <w:rsid w:val="00516975"/>
    <w:rsid w:val="006D2B67"/>
    <w:rsid w:val="00702F6D"/>
    <w:rsid w:val="007604CF"/>
    <w:rsid w:val="007A46F4"/>
    <w:rsid w:val="008031E4"/>
    <w:rsid w:val="00C30D9A"/>
    <w:rsid w:val="00DA3BD6"/>
    <w:rsid w:val="00E27115"/>
    <w:rsid w:val="00E80966"/>
    <w:rsid w:val="00EE7B22"/>
    <w:rsid w:val="00EF1326"/>
    <w:rsid w:val="00F42CE4"/>
    <w:rsid w:val="00F96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2B6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A4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46F4"/>
    <w:rPr>
      <w:sz w:val="18"/>
      <w:szCs w:val="18"/>
    </w:rPr>
  </w:style>
  <w:style w:type="paragraph" w:styleId="a5">
    <w:name w:val="footer"/>
    <w:basedOn w:val="a"/>
    <w:link w:val="Char0"/>
    <w:uiPriority w:val="99"/>
    <w:semiHidden/>
    <w:unhideWhenUsed/>
    <w:rsid w:val="007A46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46F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lhq</cp:lastModifiedBy>
  <cp:revision>14</cp:revision>
  <dcterms:created xsi:type="dcterms:W3CDTF">2020-04-23T05:45:00Z</dcterms:created>
  <dcterms:modified xsi:type="dcterms:W3CDTF">2020-04-24T01:58:00Z</dcterms:modified>
</cp:coreProperties>
</file>